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2"/>
          <w:szCs w:val="32"/>
          <w:shd w:val="clear" w:fill="FFFFFF"/>
        </w:rPr>
        <w:t>房产评估所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2"/>
          <w:szCs w:val="32"/>
          <w:shd w:val="clear" w:fill="FFFFFF"/>
        </w:rPr>
        <w:t>需资料清单</w:t>
      </w:r>
    </w:p>
    <w:p>
      <w:pPr>
        <w:rPr>
          <w:sz w:val="28"/>
          <w:szCs w:val="28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</w:rPr>
        <w:t>(一)业务类资料 ：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</w:rPr>
        <w:t>1、房屋建筑物清查评估明细表（格式由事务所提供）；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</w:rPr>
        <w:t>2、与建筑物价值有关的账目、凭证资料、原始复印件；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</w:rPr>
        <w:t>3、评估建筑物照片；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</w:rPr>
        <w:t>4、评估基准日或近期的会计报表；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</w:rPr>
        <w:t>5、房产证复印件；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</w:rPr>
        <w:t>6、购房、购土地使用权合同书复印件；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</w:rPr>
        <w:t>7、区域总平面图、建筑面积图、房屋及建筑物设计说明书、竣工决算书、竣工验收单、监质证、立项报告等；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</w:rPr>
        <w:t>8、程项目批文；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</w:rPr>
        <w:t>9、国有土地使用证、建设用地规划许可证、建设工程规划许可证、建设工程开工许可证、销售许可证等。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</w:rPr>
        <w:t>(二)备查类资料：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</w:rPr>
        <w:t>1、业务约定书；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</w:rPr>
        <w:t>2、向上级单位或股东会报告评估经济行为的申请；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fill="FFFFFF"/>
        </w:rPr>
        <w:t>3、上级单位或股东会同意评估经济行为的批准文件；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EE1300"/>
    <w:rsid w:val="58EE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Office_11.1.0.8567_F1E327BC-269C-435d-A152-05C5408002CA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2019-04-17T03:59:00Z</dcterms:created>
  <dc:creator>陈永刚</dc:creator>
  <cp:lastModifiedBy>陈永刚</cp:lastModifiedBy>
  <dcterms:modified xsi:type="dcterms:W3CDTF">2019-04-17T04:02:20Z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2052-11.1.0.8567</vt:lpwstr>
  </property>
</Properties>
</file>